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999C" w14:textId="017D53E5" w:rsidR="007A6E13" w:rsidRPr="0025776E" w:rsidRDefault="007A6E13" w:rsidP="007A6E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25776E">
        <w:rPr>
          <w:b/>
          <w:bCs/>
          <w:sz w:val="26"/>
          <w:szCs w:val="26"/>
        </w:rPr>
        <w:t>ВИЛЛОЗСКОЕ ГОРОДСКОЕ ПОСЕЛЕНИЕ</w:t>
      </w:r>
    </w:p>
    <w:p w14:paraId="0B81D06A" w14:textId="77777777" w:rsidR="007A6E13" w:rsidRPr="0025776E" w:rsidRDefault="007A6E13" w:rsidP="007A6E1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5776E">
        <w:rPr>
          <w:b/>
          <w:bCs/>
          <w:sz w:val="26"/>
          <w:szCs w:val="26"/>
        </w:rPr>
        <w:t>ЛОМОНОСОВСКОГО МУНИЦИПАЛЬНОГО РАЙОНА</w:t>
      </w:r>
    </w:p>
    <w:p w14:paraId="0E2524B7" w14:textId="77777777" w:rsidR="007A6E13" w:rsidRPr="0025776E" w:rsidRDefault="007A6E13" w:rsidP="007A6E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25776E">
        <w:rPr>
          <w:b/>
          <w:bCs/>
          <w:sz w:val="26"/>
          <w:szCs w:val="26"/>
        </w:rPr>
        <w:t>ЛЕНИНГРАДСКОЙ ОБЛАСТИ</w:t>
      </w:r>
    </w:p>
    <w:p w14:paraId="41FE286B" w14:textId="77777777" w:rsidR="007A6E13" w:rsidRPr="0025776E" w:rsidRDefault="007A6E13" w:rsidP="007A6E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25776E">
        <w:rPr>
          <w:b/>
          <w:bCs/>
          <w:sz w:val="26"/>
          <w:szCs w:val="26"/>
        </w:rPr>
        <w:t>СОВЕТ ДЕПУТАТОВ</w:t>
      </w:r>
    </w:p>
    <w:p w14:paraId="4E616397" w14:textId="77777777" w:rsidR="007A6E13" w:rsidRPr="0025776E" w:rsidRDefault="00E55AE9" w:rsidP="007A6E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25776E">
        <w:rPr>
          <w:b/>
          <w:bCs/>
          <w:sz w:val="26"/>
          <w:szCs w:val="26"/>
        </w:rPr>
        <w:t>ПЯТОГО</w:t>
      </w:r>
      <w:r w:rsidR="007A6E13" w:rsidRPr="0025776E">
        <w:rPr>
          <w:b/>
          <w:bCs/>
          <w:sz w:val="26"/>
          <w:szCs w:val="26"/>
        </w:rPr>
        <w:t xml:space="preserve"> СОЗЫВА </w:t>
      </w:r>
    </w:p>
    <w:p w14:paraId="09368614" w14:textId="77777777" w:rsidR="007A6E13" w:rsidRPr="0025776E" w:rsidRDefault="007A6E13" w:rsidP="007A6E1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BC2682A" w14:textId="0F072830" w:rsidR="007A6E13" w:rsidRDefault="007A6E13" w:rsidP="007A6E1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5776E">
        <w:rPr>
          <w:b/>
          <w:bCs/>
          <w:sz w:val="26"/>
          <w:szCs w:val="26"/>
        </w:rPr>
        <w:t>РЕШЕНИЕ</w:t>
      </w:r>
    </w:p>
    <w:p w14:paraId="209D6FFD" w14:textId="77777777" w:rsidR="0025776E" w:rsidRPr="0025776E" w:rsidRDefault="0025776E" w:rsidP="007A6E1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C22BDE4" w14:textId="121A1E40" w:rsidR="007A6E13" w:rsidRPr="0019157A" w:rsidRDefault="007264AD" w:rsidP="007A6E1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5776E">
        <w:rPr>
          <w:sz w:val="20"/>
          <w:szCs w:val="20"/>
        </w:rPr>
        <w:t xml:space="preserve">        22 </w:t>
      </w:r>
      <w:r w:rsidR="00817A20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202</w:t>
      </w:r>
      <w:r w:rsidR="001C48D7">
        <w:rPr>
          <w:sz w:val="20"/>
          <w:szCs w:val="20"/>
        </w:rPr>
        <w:t>4</w:t>
      </w:r>
      <w:r w:rsidR="006D13D4">
        <w:rPr>
          <w:sz w:val="20"/>
          <w:szCs w:val="20"/>
        </w:rPr>
        <w:t xml:space="preserve"> г.</w:t>
      </w:r>
      <w:r w:rsidR="007A6E13" w:rsidRPr="0019157A">
        <w:rPr>
          <w:sz w:val="20"/>
          <w:szCs w:val="20"/>
        </w:rPr>
        <w:t xml:space="preserve">                                </w:t>
      </w:r>
      <w:r w:rsidR="007A6E13">
        <w:rPr>
          <w:sz w:val="20"/>
          <w:szCs w:val="20"/>
        </w:rPr>
        <w:t xml:space="preserve">    </w:t>
      </w:r>
      <w:r w:rsidR="007A6E13" w:rsidRPr="0019157A">
        <w:rPr>
          <w:sz w:val="20"/>
          <w:szCs w:val="20"/>
        </w:rPr>
        <w:t xml:space="preserve">                        </w:t>
      </w:r>
      <w:r w:rsidR="007A6E13">
        <w:rPr>
          <w:sz w:val="20"/>
          <w:szCs w:val="20"/>
        </w:rPr>
        <w:t xml:space="preserve">          </w:t>
      </w:r>
      <w:r w:rsidR="007A6E13" w:rsidRPr="0019157A">
        <w:rPr>
          <w:sz w:val="20"/>
          <w:szCs w:val="20"/>
        </w:rPr>
        <w:t xml:space="preserve">                           </w:t>
      </w:r>
      <w:r w:rsidR="007A6E13">
        <w:rPr>
          <w:sz w:val="20"/>
          <w:szCs w:val="20"/>
        </w:rPr>
        <w:t xml:space="preserve">            </w:t>
      </w:r>
      <w:r w:rsidR="007A6E13" w:rsidRPr="0019157A">
        <w:rPr>
          <w:sz w:val="20"/>
          <w:szCs w:val="20"/>
        </w:rPr>
        <w:t xml:space="preserve"> </w:t>
      </w:r>
      <w:r w:rsidR="001C48D7">
        <w:rPr>
          <w:sz w:val="20"/>
          <w:szCs w:val="20"/>
        </w:rPr>
        <w:t xml:space="preserve">        </w:t>
      </w:r>
      <w:r w:rsidR="007A6E13" w:rsidRPr="0019157A">
        <w:rPr>
          <w:sz w:val="20"/>
          <w:szCs w:val="20"/>
        </w:rPr>
        <w:t xml:space="preserve">  №</w:t>
      </w:r>
      <w:r w:rsidR="0025776E">
        <w:rPr>
          <w:sz w:val="20"/>
          <w:szCs w:val="20"/>
        </w:rPr>
        <w:t xml:space="preserve"> 19</w:t>
      </w:r>
      <w:r w:rsidR="007A6E13" w:rsidRPr="0019157A">
        <w:rPr>
          <w:sz w:val="20"/>
          <w:szCs w:val="20"/>
        </w:rPr>
        <w:t xml:space="preserve"> </w:t>
      </w:r>
    </w:p>
    <w:p w14:paraId="1BDBBB3B" w14:textId="77777777" w:rsidR="007A6E13" w:rsidRPr="00350D0A" w:rsidRDefault="007A6E13" w:rsidP="007A6E13">
      <w:pPr>
        <w:rPr>
          <w:sz w:val="20"/>
          <w:szCs w:val="20"/>
        </w:rPr>
      </w:pPr>
    </w:p>
    <w:p w14:paraId="57AA9362" w14:textId="77777777" w:rsidR="007A6E13" w:rsidRDefault="007A6E13" w:rsidP="007A6E13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 </w:t>
      </w:r>
      <w:proofErr w:type="spellStart"/>
      <w:r w:rsidRPr="00033AEC">
        <w:rPr>
          <w:sz w:val="20"/>
          <w:szCs w:val="20"/>
        </w:rPr>
        <w:t>Виллози</w:t>
      </w:r>
      <w:proofErr w:type="spellEnd"/>
    </w:p>
    <w:p w14:paraId="45E50558" w14:textId="77777777" w:rsidR="0047391E" w:rsidRPr="00CE0813" w:rsidRDefault="0047391E" w:rsidP="0047391E"/>
    <w:p w14:paraId="7E0AECA3" w14:textId="77777777" w:rsidR="0047391E" w:rsidRPr="00AC5A3B" w:rsidRDefault="0047391E" w:rsidP="0047391E">
      <w:pPr>
        <w:pStyle w:val="Heading"/>
        <w:jc w:val="center"/>
        <w:rPr>
          <w:rFonts w:ascii="Times New Roman" w:hAnsi="Times New Roman"/>
          <w:color w:val="000000"/>
          <w:sz w:val="26"/>
          <w:szCs w:val="26"/>
        </w:rPr>
      </w:pPr>
      <w:r w:rsidRPr="00AC5A3B">
        <w:rPr>
          <w:rFonts w:ascii="Times New Roman" w:hAnsi="Times New Roman"/>
          <w:sz w:val="26"/>
          <w:szCs w:val="26"/>
        </w:rPr>
        <w:t xml:space="preserve">Об установлении на территории </w:t>
      </w:r>
      <w:r w:rsidRPr="00AC5A3B">
        <w:rPr>
          <w:rFonts w:ascii="Times New Roman" w:hAnsi="Times New Roman"/>
          <w:color w:val="000000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C5A3B">
        <w:rPr>
          <w:rFonts w:ascii="Times New Roman" w:hAnsi="Times New Roman"/>
          <w:color w:val="000000"/>
          <w:sz w:val="26"/>
          <w:szCs w:val="26"/>
        </w:rPr>
        <w:t>Виллозское</w:t>
      </w:r>
      <w:proofErr w:type="spellEnd"/>
      <w:r w:rsidRPr="00AC5A3B">
        <w:rPr>
          <w:rFonts w:ascii="Times New Roman" w:hAnsi="Times New Roman"/>
          <w:color w:val="000000"/>
          <w:sz w:val="26"/>
          <w:szCs w:val="26"/>
        </w:rPr>
        <w:t xml:space="preserve"> городское поселение Ломоносовского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</w:t>
      </w:r>
      <w:r w:rsidRPr="00AC5A3B">
        <w:rPr>
          <w:rFonts w:ascii="Times New Roman" w:hAnsi="Times New Roman"/>
          <w:color w:val="000000"/>
          <w:sz w:val="26"/>
          <w:szCs w:val="26"/>
        </w:rPr>
        <w:t xml:space="preserve">района Ленинградской области </w:t>
      </w:r>
      <w:r w:rsidRPr="00AC5A3B">
        <w:rPr>
          <w:rFonts w:ascii="Times New Roman" w:hAnsi="Times New Roman"/>
          <w:sz w:val="26"/>
          <w:szCs w:val="26"/>
        </w:rPr>
        <w:t>налога на имущество физических лиц на 20</w:t>
      </w:r>
      <w:r>
        <w:rPr>
          <w:rFonts w:ascii="Times New Roman" w:hAnsi="Times New Roman"/>
          <w:sz w:val="26"/>
          <w:szCs w:val="26"/>
        </w:rPr>
        <w:t>2</w:t>
      </w:r>
      <w:r w:rsidR="001C48D7">
        <w:rPr>
          <w:rFonts w:ascii="Times New Roman" w:hAnsi="Times New Roman"/>
          <w:sz w:val="26"/>
          <w:szCs w:val="26"/>
        </w:rPr>
        <w:t>5</w:t>
      </w:r>
      <w:r w:rsidRPr="00AC5A3B">
        <w:rPr>
          <w:rFonts w:ascii="Times New Roman" w:hAnsi="Times New Roman"/>
          <w:sz w:val="26"/>
          <w:szCs w:val="26"/>
        </w:rPr>
        <w:t xml:space="preserve"> год</w:t>
      </w:r>
    </w:p>
    <w:p w14:paraId="04252A18" w14:textId="77777777" w:rsidR="0047391E" w:rsidRDefault="0047391E" w:rsidP="0047391E">
      <w:pPr>
        <w:pStyle w:val="Heading"/>
        <w:jc w:val="center"/>
        <w:rPr>
          <w:rFonts w:ascii="Times New Roman" w:hAnsi="Times New Roman"/>
          <w:color w:val="000000"/>
          <w:sz w:val="24"/>
        </w:rPr>
      </w:pPr>
    </w:p>
    <w:p w14:paraId="20CC9E62" w14:textId="77777777" w:rsidR="0047391E" w:rsidRPr="00A655F0" w:rsidRDefault="0047391E" w:rsidP="0047391E">
      <w:pPr>
        <w:ind w:firstLine="709"/>
        <w:jc w:val="both"/>
        <w:rPr>
          <w:sz w:val="26"/>
          <w:szCs w:val="26"/>
        </w:rPr>
      </w:pPr>
      <w:r w:rsidRPr="00A655F0">
        <w:rPr>
          <w:sz w:val="26"/>
          <w:szCs w:val="26"/>
        </w:rPr>
        <w:t xml:space="preserve">Рассмотрев проект, внесенный </w:t>
      </w:r>
      <w:r w:rsidR="009B0282" w:rsidRPr="00A655F0">
        <w:rPr>
          <w:sz w:val="26"/>
          <w:szCs w:val="26"/>
        </w:rPr>
        <w:t xml:space="preserve">временно исполняющим обязанности главы </w:t>
      </w:r>
      <w:r w:rsidRPr="00A655F0">
        <w:rPr>
          <w:sz w:val="26"/>
          <w:szCs w:val="26"/>
        </w:rPr>
        <w:t xml:space="preserve">администрации </w:t>
      </w:r>
      <w:proofErr w:type="spellStart"/>
      <w:r w:rsidRPr="00A655F0">
        <w:rPr>
          <w:sz w:val="26"/>
          <w:szCs w:val="26"/>
        </w:rPr>
        <w:t>Виллозского</w:t>
      </w:r>
      <w:proofErr w:type="spellEnd"/>
      <w:r w:rsidRPr="00A655F0">
        <w:rPr>
          <w:sz w:val="26"/>
          <w:szCs w:val="26"/>
        </w:rPr>
        <w:t xml:space="preserve"> городского поселения</w:t>
      </w:r>
      <w:r w:rsidR="008539E0" w:rsidRPr="00A655F0">
        <w:rPr>
          <w:sz w:val="26"/>
          <w:szCs w:val="26"/>
        </w:rPr>
        <w:t>,</w:t>
      </w:r>
      <w:r w:rsidR="002918F3" w:rsidRPr="00A655F0">
        <w:rPr>
          <w:sz w:val="26"/>
          <w:szCs w:val="26"/>
        </w:rPr>
        <w:t xml:space="preserve"> </w:t>
      </w:r>
      <w:r w:rsidRPr="00A655F0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главой 32 части второй Налогового кодекса Российской Федерации, областным законом Ленинградской области от 29.10.2015 № 102-оз «О единой дате начала применения на территории Ленинградской области порядка определения налоговой базы по налогу на имущество</w:t>
      </w:r>
      <w:r w:rsidR="00E80E8E" w:rsidRPr="00A655F0">
        <w:rPr>
          <w:sz w:val="26"/>
          <w:szCs w:val="26"/>
        </w:rPr>
        <w:t xml:space="preserve"> </w:t>
      </w:r>
      <w:r w:rsidRPr="00A655F0">
        <w:rPr>
          <w:sz w:val="26"/>
          <w:szCs w:val="26"/>
        </w:rPr>
        <w:t xml:space="preserve">физических лиц исходя из кадастровой стоимости объектов налогообложения», руководствуясь Уставом </w:t>
      </w:r>
      <w:proofErr w:type="spellStart"/>
      <w:r w:rsidRPr="00A655F0">
        <w:rPr>
          <w:sz w:val="26"/>
          <w:szCs w:val="26"/>
        </w:rPr>
        <w:t>Виллозского</w:t>
      </w:r>
      <w:proofErr w:type="spellEnd"/>
      <w:r w:rsidRPr="00A655F0">
        <w:rPr>
          <w:sz w:val="26"/>
          <w:szCs w:val="26"/>
        </w:rPr>
        <w:t xml:space="preserve"> городского поселения Ломоносовского муниципального района</w:t>
      </w:r>
      <w:r w:rsidR="006D13D4" w:rsidRPr="00A655F0">
        <w:rPr>
          <w:sz w:val="26"/>
          <w:szCs w:val="26"/>
        </w:rPr>
        <w:t xml:space="preserve"> Ленинградской области,</w:t>
      </w:r>
      <w:r w:rsidRPr="00A655F0">
        <w:rPr>
          <w:sz w:val="26"/>
          <w:szCs w:val="26"/>
        </w:rPr>
        <w:t xml:space="preserve"> </w:t>
      </w:r>
      <w:r w:rsidR="005B45C3" w:rsidRPr="00A655F0">
        <w:rPr>
          <w:sz w:val="26"/>
          <w:szCs w:val="26"/>
        </w:rPr>
        <w:t>С</w:t>
      </w:r>
      <w:r w:rsidRPr="00A655F0">
        <w:rPr>
          <w:sz w:val="26"/>
          <w:szCs w:val="26"/>
        </w:rPr>
        <w:t xml:space="preserve">овет депутатов </w:t>
      </w:r>
      <w:proofErr w:type="spellStart"/>
      <w:r w:rsidRPr="00A655F0">
        <w:rPr>
          <w:sz w:val="26"/>
          <w:szCs w:val="26"/>
        </w:rPr>
        <w:t>Виллозского</w:t>
      </w:r>
      <w:proofErr w:type="spellEnd"/>
      <w:r w:rsidRPr="00A655F0">
        <w:rPr>
          <w:sz w:val="26"/>
          <w:szCs w:val="26"/>
        </w:rPr>
        <w:t xml:space="preserve"> городского поселения</w:t>
      </w:r>
    </w:p>
    <w:p w14:paraId="64E4C9E6" w14:textId="77777777" w:rsidR="0047391E" w:rsidRPr="00A655F0" w:rsidRDefault="0047391E" w:rsidP="0025776E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b/>
          <w:sz w:val="26"/>
          <w:szCs w:val="26"/>
        </w:rPr>
      </w:pPr>
      <w:r w:rsidRPr="00A655F0">
        <w:rPr>
          <w:b/>
          <w:sz w:val="26"/>
          <w:szCs w:val="26"/>
        </w:rPr>
        <w:t xml:space="preserve">РЕШИЛ: </w:t>
      </w:r>
    </w:p>
    <w:p w14:paraId="38227484" w14:textId="77777777" w:rsidR="0047391E" w:rsidRPr="00A655F0" w:rsidRDefault="0047391E" w:rsidP="009B0282">
      <w:pPr>
        <w:spacing w:before="240"/>
        <w:ind w:firstLine="709"/>
        <w:jc w:val="both"/>
        <w:rPr>
          <w:sz w:val="26"/>
          <w:szCs w:val="26"/>
        </w:rPr>
      </w:pPr>
      <w:r w:rsidRPr="00A655F0">
        <w:rPr>
          <w:sz w:val="26"/>
          <w:szCs w:val="26"/>
        </w:rPr>
        <w:t xml:space="preserve">1. Установить на территории муниципального образования </w:t>
      </w:r>
      <w:proofErr w:type="spellStart"/>
      <w:r w:rsidRPr="00A655F0">
        <w:rPr>
          <w:sz w:val="26"/>
          <w:szCs w:val="26"/>
        </w:rPr>
        <w:t>Виллозское</w:t>
      </w:r>
      <w:proofErr w:type="spellEnd"/>
      <w:r w:rsidRPr="00A655F0">
        <w:rPr>
          <w:sz w:val="26"/>
          <w:szCs w:val="26"/>
        </w:rPr>
        <w:t xml:space="preserve"> городское поселение Ломоносовского муниципального района Ленинградской области налог на имущество физических лиц (далее - налог).</w:t>
      </w:r>
    </w:p>
    <w:p w14:paraId="1CDCBE60" w14:textId="77777777" w:rsidR="0047391E" w:rsidRPr="00A655F0" w:rsidRDefault="0047391E" w:rsidP="0047391E">
      <w:pPr>
        <w:ind w:firstLine="709"/>
        <w:jc w:val="both"/>
        <w:rPr>
          <w:sz w:val="26"/>
          <w:szCs w:val="26"/>
        </w:rPr>
      </w:pPr>
      <w:r w:rsidRPr="00A655F0">
        <w:rPr>
          <w:sz w:val="26"/>
          <w:szCs w:val="26"/>
        </w:rPr>
        <w:t xml:space="preserve">2. Установить на территории муниципального образования </w:t>
      </w:r>
      <w:proofErr w:type="spellStart"/>
      <w:r w:rsidRPr="00A655F0">
        <w:rPr>
          <w:sz w:val="26"/>
          <w:szCs w:val="26"/>
        </w:rPr>
        <w:t>Виллозское</w:t>
      </w:r>
      <w:proofErr w:type="spellEnd"/>
      <w:r w:rsidRPr="00A655F0">
        <w:rPr>
          <w:sz w:val="26"/>
          <w:szCs w:val="26"/>
        </w:rPr>
        <w:t xml:space="preserve"> городское поселение Ломоносовского муниципального района Ленинградской области следующие ставки налога исходя из кадастровой стоимости объекта налогообложения:</w:t>
      </w:r>
    </w:p>
    <w:p w14:paraId="5B803B38" w14:textId="77777777" w:rsidR="008B6A11" w:rsidRDefault="008B6A11" w:rsidP="0047391E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070"/>
        <w:gridCol w:w="2410"/>
        <w:gridCol w:w="1984"/>
      </w:tblGrid>
      <w:tr w:rsidR="0047391E" w14:paraId="1AD32CE6" w14:textId="77777777" w:rsidTr="00E25C3C">
        <w:trPr>
          <w:trHeight w:val="150"/>
        </w:trPr>
        <w:tc>
          <w:tcPr>
            <w:tcW w:w="5070" w:type="dxa"/>
            <w:vMerge w:val="restart"/>
            <w:vAlign w:val="center"/>
          </w:tcPr>
          <w:p w14:paraId="616CC515" w14:textId="77777777" w:rsidR="0047391E" w:rsidRPr="00E47AF6" w:rsidRDefault="0047391E" w:rsidP="00721CBF">
            <w:pPr>
              <w:jc w:val="center"/>
              <w:rPr>
                <w:sz w:val="26"/>
                <w:szCs w:val="26"/>
              </w:rPr>
            </w:pPr>
            <w:r w:rsidRPr="00E47AF6">
              <w:rPr>
                <w:sz w:val="26"/>
                <w:szCs w:val="26"/>
              </w:rPr>
              <w:t>Объекты налогообложения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24D1AC7E" w14:textId="77777777" w:rsidR="0047391E" w:rsidRPr="00E47AF6" w:rsidRDefault="0047391E" w:rsidP="00721CBF">
            <w:pPr>
              <w:jc w:val="center"/>
              <w:rPr>
                <w:sz w:val="26"/>
                <w:szCs w:val="26"/>
              </w:rPr>
            </w:pPr>
            <w:r w:rsidRPr="00E47AF6">
              <w:rPr>
                <w:sz w:val="26"/>
                <w:szCs w:val="26"/>
              </w:rPr>
              <w:t>Ставка налога, проценты</w:t>
            </w:r>
          </w:p>
        </w:tc>
      </w:tr>
      <w:tr w:rsidR="0047391E" w14:paraId="486C931B" w14:textId="77777777" w:rsidTr="00E25C3C">
        <w:trPr>
          <w:trHeight w:val="135"/>
        </w:trPr>
        <w:tc>
          <w:tcPr>
            <w:tcW w:w="5070" w:type="dxa"/>
            <w:vMerge/>
            <w:vAlign w:val="center"/>
          </w:tcPr>
          <w:p w14:paraId="326E4634" w14:textId="77777777" w:rsidR="0047391E" w:rsidRPr="00E47AF6" w:rsidRDefault="0047391E" w:rsidP="00721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B87F9C7" w14:textId="77777777" w:rsidR="0047391E" w:rsidRPr="00E47AF6" w:rsidRDefault="0047391E" w:rsidP="00721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</w:t>
            </w:r>
            <w:proofErr w:type="spellStart"/>
            <w:r>
              <w:rPr>
                <w:sz w:val="22"/>
                <w:szCs w:val="22"/>
              </w:rPr>
              <w:t>Виллозского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Ломоносовского района (за исключением территории поселка </w:t>
            </w:r>
            <w:proofErr w:type="spellStart"/>
            <w:r>
              <w:rPr>
                <w:sz w:val="22"/>
                <w:szCs w:val="22"/>
              </w:rPr>
              <w:t>Новогорелово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A862CAC" w14:textId="77777777" w:rsidR="0047391E" w:rsidRPr="00E47AF6" w:rsidRDefault="0047391E" w:rsidP="00721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поселка </w:t>
            </w:r>
            <w:proofErr w:type="spellStart"/>
            <w:r>
              <w:rPr>
                <w:sz w:val="22"/>
                <w:szCs w:val="22"/>
              </w:rPr>
              <w:t>Новогорелово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Виллозского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Ломоносовского района </w:t>
            </w:r>
          </w:p>
        </w:tc>
      </w:tr>
      <w:tr w:rsidR="0047391E" w14:paraId="407DD913" w14:textId="77777777" w:rsidTr="00E25C3C">
        <w:tc>
          <w:tcPr>
            <w:tcW w:w="5070" w:type="dxa"/>
          </w:tcPr>
          <w:p w14:paraId="08545DBC" w14:textId="77777777" w:rsidR="0047391E" w:rsidRPr="00A655F0" w:rsidRDefault="0047391E" w:rsidP="00721CBF">
            <w:pPr>
              <w:jc w:val="both"/>
            </w:pPr>
            <w:r w:rsidRPr="00A655F0">
              <w:t>Жилых домов, частей жилых домов, квартир, частей квартир, комнат</w:t>
            </w:r>
          </w:p>
        </w:tc>
        <w:tc>
          <w:tcPr>
            <w:tcW w:w="2410" w:type="dxa"/>
            <w:vAlign w:val="center"/>
          </w:tcPr>
          <w:p w14:paraId="279CB07E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73712"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  <w:vAlign w:val="center"/>
          </w:tcPr>
          <w:p w14:paraId="412B9848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73712">
              <w:rPr>
                <w:sz w:val="26"/>
                <w:szCs w:val="26"/>
              </w:rPr>
              <w:t>15</w:t>
            </w:r>
          </w:p>
        </w:tc>
      </w:tr>
      <w:tr w:rsidR="0047391E" w14:paraId="4F77B37D" w14:textId="77777777" w:rsidTr="00E25C3C">
        <w:tc>
          <w:tcPr>
            <w:tcW w:w="5070" w:type="dxa"/>
          </w:tcPr>
          <w:p w14:paraId="36FD7C5A" w14:textId="77777777" w:rsidR="0047391E" w:rsidRPr="00A655F0" w:rsidRDefault="0047391E" w:rsidP="00721CBF">
            <w:pPr>
              <w:jc w:val="both"/>
            </w:pPr>
            <w:r w:rsidRPr="00A655F0"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410" w:type="dxa"/>
            <w:vAlign w:val="center"/>
          </w:tcPr>
          <w:p w14:paraId="3598695B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984" w:type="dxa"/>
            <w:vAlign w:val="center"/>
          </w:tcPr>
          <w:p w14:paraId="330E87AD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47391E" w14:paraId="555145C1" w14:textId="77777777" w:rsidTr="00E25C3C">
        <w:tc>
          <w:tcPr>
            <w:tcW w:w="5070" w:type="dxa"/>
          </w:tcPr>
          <w:p w14:paraId="3E2DB2BA" w14:textId="77777777" w:rsidR="0047391E" w:rsidRPr="00A655F0" w:rsidRDefault="0047391E" w:rsidP="00721CBF">
            <w:pPr>
              <w:jc w:val="both"/>
            </w:pPr>
            <w:r w:rsidRPr="00A655F0">
              <w:lastRenderedPageBreak/>
              <w:t>Единые недвижимые комплексы, в состав которых входит хотя бы один жилой дом</w:t>
            </w:r>
          </w:p>
        </w:tc>
        <w:tc>
          <w:tcPr>
            <w:tcW w:w="2410" w:type="dxa"/>
            <w:vAlign w:val="center"/>
          </w:tcPr>
          <w:p w14:paraId="7A2E6E1F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984" w:type="dxa"/>
            <w:vAlign w:val="center"/>
          </w:tcPr>
          <w:p w14:paraId="62439252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47391E" w14:paraId="63E53AF4" w14:textId="77777777" w:rsidTr="00E25C3C">
        <w:tc>
          <w:tcPr>
            <w:tcW w:w="5070" w:type="dxa"/>
          </w:tcPr>
          <w:p w14:paraId="29EDE185" w14:textId="77777777" w:rsidR="0047391E" w:rsidRPr="00A655F0" w:rsidRDefault="0047391E" w:rsidP="00A53E4B">
            <w:pPr>
              <w:jc w:val="both"/>
            </w:pPr>
            <w:r w:rsidRPr="00A655F0">
              <w:t xml:space="preserve">Гаражи и </w:t>
            </w:r>
            <w:proofErr w:type="spellStart"/>
            <w:r w:rsidRPr="00A655F0">
              <w:t>машино</w:t>
            </w:r>
            <w:proofErr w:type="spellEnd"/>
            <w:r w:rsidRPr="00A655F0">
              <w:t>-места, в том числе расположенные в объектах</w:t>
            </w:r>
            <w:r w:rsidR="00A53E4B" w:rsidRPr="00A655F0">
              <w:t xml:space="preserve"> </w:t>
            </w:r>
            <w:r w:rsidRPr="00A655F0">
              <w:t>налогообложения, указанных в подпункте 2 пункта 2 статьи 406 Налогового кодекса РФ</w:t>
            </w:r>
          </w:p>
        </w:tc>
        <w:tc>
          <w:tcPr>
            <w:tcW w:w="2410" w:type="dxa"/>
            <w:vAlign w:val="center"/>
          </w:tcPr>
          <w:p w14:paraId="25F16E14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984" w:type="dxa"/>
            <w:vAlign w:val="center"/>
          </w:tcPr>
          <w:p w14:paraId="3A18C909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47391E" w14:paraId="156D3974" w14:textId="77777777" w:rsidTr="00E25C3C">
        <w:tc>
          <w:tcPr>
            <w:tcW w:w="5070" w:type="dxa"/>
          </w:tcPr>
          <w:p w14:paraId="6C1396ED" w14:textId="77777777" w:rsidR="0047391E" w:rsidRPr="00A655F0" w:rsidRDefault="0047391E" w:rsidP="00721CBF">
            <w:pPr>
              <w:autoSpaceDE w:val="0"/>
              <w:autoSpaceDN w:val="0"/>
              <w:adjustRightInd w:val="0"/>
              <w:jc w:val="both"/>
            </w:pPr>
            <w:r w:rsidRPr="00A655F0"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410" w:type="dxa"/>
            <w:vAlign w:val="center"/>
          </w:tcPr>
          <w:p w14:paraId="4691FEB4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984" w:type="dxa"/>
            <w:vAlign w:val="center"/>
          </w:tcPr>
          <w:p w14:paraId="69E51BED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47391E" w14:paraId="74770D41" w14:textId="77777777" w:rsidTr="00E25C3C">
        <w:tc>
          <w:tcPr>
            <w:tcW w:w="5070" w:type="dxa"/>
          </w:tcPr>
          <w:p w14:paraId="1A41CF44" w14:textId="77777777" w:rsidR="0047391E" w:rsidRPr="00A655F0" w:rsidRDefault="0047391E" w:rsidP="00721CBF">
            <w:pPr>
              <w:jc w:val="both"/>
            </w:pPr>
            <w:r w:rsidRPr="00A655F0">
              <w:t xml:space="preserve">Объекты налогообложения, включенные в перечень, определяемый в соответствии с </w:t>
            </w:r>
            <w:hyperlink r:id="rId6" w:history="1">
              <w:r w:rsidRPr="00A655F0">
                <w:t>пунктом 7 статьи 378.2</w:t>
              </w:r>
            </w:hyperlink>
            <w:r w:rsidRPr="00A655F0">
              <w:t xml:space="preserve"> Налогового кодекса РФ, в отношении объектов налогообложения, предусмотренных </w:t>
            </w:r>
            <w:hyperlink r:id="rId7" w:history="1">
              <w:r w:rsidRPr="00A655F0">
                <w:t>абзацем вторым пункта 10 статьи 378.2</w:t>
              </w:r>
            </w:hyperlink>
            <w:r w:rsidRPr="00A655F0">
              <w:t xml:space="preserve"> Налогового кодекса РФ</w:t>
            </w:r>
          </w:p>
        </w:tc>
        <w:tc>
          <w:tcPr>
            <w:tcW w:w="2410" w:type="dxa"/>
            <w:vAlign w:val="center"/>
          </w:tcPr>
          <w:p w14:paraId="69B9190D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14:paraId="7D02EE25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967B0" w14:paraId="0E8779E6" w14:textId="77777777" w:rsidTr="00E25C3C">
        <w:tc>
          <w:tcPr>
            <w:tcW w:w="5070" w:type="dxa"/>
          </w:tcPr>
          <w:p w14:paraId="164474B8" w14:textId="77777777" w:rsidR="00B967B0" w:rsidRPr="00A655F0" w:rsidRDefault="000D515B" w:rsidP="00721CBF">
            <w:pPr>
              <w:jc w:val="both"/>
            </w:pPr>
            <w:r w:rsidRPr="00A655F0"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410" w:type="dxa"/>
            <w:vAlign w:val="center"/>
          </w:tcPr>
          <w:p w14:paraId="5B3E854B" w14:textId="77777777" w:rsidR="00B967B0" w:rsidRDefault="000D515B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984" w:type="dxa"/>
            <w:vAlign w:val="center"/>
          </w:tcPr>
          <w:p w14:paraId="088C6EE8" w14:textId="77777777" w:rsidR="00B967B0" w:rsidRDefault="000D515B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47391E" w14:paraId="751921BA" w14:textId="77777777" w:rsidTr="00E25C3C">
        <w:tc>
          <w:tcPr>
            <w:tcW w:w="5070" w:type="dxa"/>
          </w:tcPr>
          <w:p w14:paraId="7E5C2832" w14:textId="77777777" w:rsidR="0047391E" w:rsidRPr="00A655F0" w:rsidRDefault="0047391E" w:rsidP="00721CBF">
            <w:pPr>
              <w:jc w:val="both"/>
            </w:pPr>
            <w:r w:rsidRPr="00A655F0">
              <w:t>Прочие объекты налогообложения</w:t>
            </w:r>
          </w:p>
        </w:tc>
        <w:tc>
          <w:tcPr>
            <w:tcW w:w="2410" w:type="dxa"/>
            <w:vAlign w:val="center"/>
          </w:tcPr>
          <w:p w14:paraId="307EF67C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84" w:type="dxa"/>
            <w:vAlign w:val="center"/>
          </w:tcPr>
          <w:p w14:paraId="11C2B151" w14:textId="77777777" w:rsidR="0047391E" w:rsidRDefault="0047391E" w:rsidP="00721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14:paraId="602FCA57" w14:textId="77777777" w:rsidR="0047391E" w:rsidRDefault="0047391E" w:rsidP="0047391E">
      <w:pPr>
        <w:ind w:firstLine="709"/>
        <w:rPr>
          <w:sz w:val="26"/>
          <w:szCs w:val="26"/>
        </w:rPr>
      </w:pPr>
    </w:p>
    <w:p w14:paraId="2472497E" w14:textId="77777777" w:rsidR="008558F8" w:rsidRDefault="0047391E" w:rsidP="0047391E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553A0">
        <w:rPr>
          <w:color w:val="000000"/>
          <w:sz w:val="26"/>
          <w:szCs w:val="26"/>
        </w:rPr>
        <w:t>В соответствии с пунктом 2 статьи 399 Налогового кодекса РФ установить налоговую льготу в размере</w:t>
      </w:r>
      <w:r w:rsidR="004879F9">
        <w:rPr>
          <w:color w:val="000000"/>
          <w:sz w:val="26"/>
          <w:szCs w:val="26"/>
        </w:rPr>
        <w:t>,</w:t>
      </w:r>
      <w:r w:rsidRPr="004553A0">
        <w:rPr>
          <w:color w:val="000000"/>
          <w:sz w:val="26"/>
          <w:szCs w:val="26"/>
        </w:rPr>
        <w:t xml:space="preserve"> предусмотренном пунктом 2 статьи 407 Налогового кодекса РФ, постоянно зарегистрированным на территории муниципального образования </w:t>
      </w:r>
      <w:proofErr w:type="spellStart"/>
      <w:r w:rsidRPr="004553A0">
        <w:rPr>
          <w:color w:val="000000"/>
          <w:sz w:val="26"/>
          <w:szCs w:val="26"/>
        </w:rPr>
        <w:t>Виллозское</w:t>
      </w:r>
      <w:proofErr w:type="spellEnd"/>
      <w:r w:rsidRPr="004553A0">
        <w:rPr>
          <w:color w:val="000000"/>
          <w:sz w:val="26"/>
          <w:szCs w:val="26"/>
        </w:rPr>
        <w:t xml:space="preserve"> городское поселение Ломоносовского муниципального района Ленинградской области физическим лицам, имеющим трех и более несовершеннолетних детей. </w:t>
      </w:r>
    </w:p>
    <w:p w14:paraId="4F7A311A" w14:textId="77777777" w:rsidR="0047391E" w:rsidRPr="009869D5" w:rsidRDefault="00720C37" w:rsidP="004739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7391E">
        <w:rPr>
          <w:sz w:val="26"/>
          <w:szCs w:val="26"/>
        </w:rPr>
        <w:t xml:space="preserve">. </w:t>
      </w:r>
      <w:r w:rsidR="0047391E" w:rsidRPr="00CE0813">
        <w:rPr>
          <w:sz w:val="26"/>
          <w:szCs w:val="26"/>
        </w:rPr>
        <w:t xml:space="preserve">Считать утратившим силу решение Совета депутатов муниципального образования </w:t>
      </w:r>
      <w:proofErr w:type="spellStart"/>
      <w:r w:rsidR="0047391E" w:rsidRPr="00CE0813">
        <w:rPr>
          <w:sz w:val="26"/>
          <w:szCs w:val="26"/>
        </w:rPr>
        <w:t>Виллозское</w:t>
      </w:r>
      <w:proofErr w:type="spellEnd"/>
      <w:r w:rsidR="0047391E" w:rsidRPr="00CE0813">
        <w:rPr>
          <w:sz w:val="26"/>
          <w:szCs w:val="26"/>
        </w:rPr>
        <w:t xml:space="preserve"> городское поселение от </w:t>
      </w:r>
      <w:r w:rsidR="001C48D7">
        <w:rPr>
          <w:sz w:val="26"/>
          <w:szCs w:val="26"/>
        </w:rPr>
        <w:t>23</w:t>
      </w:r>
      <w:r w:rsidR="0047391E">
        <w:rPr>
          <w:sz w:val="26"/>
          <w:szCs w:val="26"/>
        </w:rPr>
        <w:t xml:space="preserve"> </w:t>
      </w:r>
      <w:r w:rsidR="001C48D7">
        <w:rPr>
          <w:sz w:val="26"/>
          <w:szCs w:val="26"/>
        </w:rPr>
        <w:t>октя</w:t>
      </w:r>
      <w:r w:rsidR="00831A0B">
        <w:rPr>
          <w:sz w:val="26"/>
          <w:szCs w:val="26"/>
        </w:rPr>
        <w:t>бря</w:t>
      </w:r>
      <w:r w:rsidR="0047391E">
        <w:rPr>
          <w:sz w:val="26"/>
          <w:szCs w:val="26"/>
        </w:rPr>
        <w:t xml:space="preserve"> 202</w:t>
      </w:r>
      <w:r w:rsidR="005552D5">
        <w:rPr>
          <w:sz w:val="26"/>
          <w:szCs w:val="26"/>
        </w:rPr>
        <w:t>3</w:t>
      </w:r>
      <w:r w:rsidR="00F522B5">
        <w:rPr>
          <w:sz w:val="26"/>
          <w:szCs w:val="26"/>
        </w:rPr>
        <w:t xml:space="preserve"> г.</w:t>
      </w:r>
      <w:r w:rsidR="0047391E" w:rsidRPr="00CE0813">
        <w:rPr>
          <w:sz w:val="26"/>
          <w:szCs w:val="26"/>
        </w:rPr>
        <w:t xml:space="preserve"> № </w:t>
      </w:r>
      <w:r w:rsidR="00831A0B">
        <w:rPr>
          <w:sz w:val="26"/>
          <w:szCs w:val="26"/>
        </w:rPr>
        <w:t>4</w:t>
      </w:r>
      <w:r w:rsidR="001C48D7">
        <w:rPr>
          <w:sz w:val="26"/>
          <w:szCs w:val="26"/>
        </w:rPr>
        <w:t>6</w:t>
      </w:r>
      <w:r w:rsidR="0047391E" w:rsidRPr="00CE0813">
        <w:rPr>
          <w:sz w:val="26"/>
          <w:szCs w:val="26"/>
        </w:rPr>
        <w:t xml:space="preserve"> «Об установлении на территории муниципального образования </w:t>
      </w:r>
      <w:proofErr w:type="spellStart"/>
      <w:r w:rsidR="0047391E" w:rsidRPr="00CE0813">
        <w:rPr>
          <w:sz w:val="26"/>
          <w:szCs w:val="26"/>
        </w:rPr>
        <w:t>Виллозское</w:t>
      </w:r>
      <w:proofErr w:type="spellEnd"/>
      <w:r w:rsidR="0047391E" w:rsidRPr="00CE0813">
        <w:rPr>
          <w:sz w:val="26"/>
          <w:szCs w:val="26"/>
        </w:rPr>
        <w:t xml:space="preserve"> городское поселение Ломоносовского района Ленинградской области </w:t>
      </w:r>
      <w:r w:rsidR="0047391E">
        <w:rPr>
          <w:sz w:val="26"/>
          <w:szCs w:val="26"/>
        </w:rPr>
        <w:t xml:space="preserve">налога на имущество физических лиц на </w:t>
      </w:r>
      <w:r w:rsidR="0047391E" w:rsidRPr="00CE0813">
        <w:rPr>
          <w:sz w:val="26"/>
          <w:szCs w:val="26"/>
        </w:rPr>
        <w:t>202</w:t>
      </w:r>
      <w:r w:rsidR="001C48D7">
        <w:rPr>
          <w:sz w:val="26"/>
          <w:szCs w:val="26"/>
        </w:rPr>
        <w:t>4</w:t>
      </w:r>
      <w:r w:rsidR="0047391E" w:rsidRPr="00CE0813">
        <w:rPr>
          <w:sz w:val="26"/>
          <w:szCs w:val="26"/>
        </w:rPr>
        <w:t xml:space="preserve"> год»</w:t>
      </w:r>
      <w:r w:rsidR="0047391E">
        <w:rPr>
          <w:sz w:val="26"/>
          <w:szCs w:val="26"/>
        </w:rPr>
        <w:t xml:space="preserve"> </w:t>
      </w:r>
      <w:r w:rsidR="0047391E" w:rsidRPr="00CE0813">
        <w:rPr>
          <w:sz w:val="26"/>
          <w:szCs w:val="26"/>
        </w:rPr>
        <w:t>с момента вступления в силу настоящего решения</w:t>
      </w:r>
      <w:r w:rsidR="0047391E">
        <w:rPr>
          <w:sz w:val="26"/>
          <w:szCs w:val="26"/>
        </w:rPr>
        <w:t>.</w:t>
      </w:r>
    </w:p>
    <w:p w14:paraId="1DBA937B" w14:textId="77777777" w:rsidR="0047391E" w:rsidRPr="00433EF2" w:rsidRDefault="00C0767A" w:rsidP="004739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7391E" w:rsidRPr="00433EF2">
        <w:rPr>
          <w:sz w:val="26"/>
          <w:szCs w:val="26"/>
        </w:rPr>
        <w:t xml:space="preserve">. </w:t>
      </w:r>
      <w:r w:rsidR="00720C37" w:rsidRPr="00872747">
        <w:rPr>
          <w:rFonts w:eastAsiaTheme="minorHAnsi"/>
          <w:sz w:val="26"/>
          <w:szCs w:val="26"/>
          <w:lang w:eastAsia="en-US"/>
        </w:rPr>
        <w:t>Настоящее решение вступает в силу с 1 января 202</w:t>
      </w:r>
      <w:r w:rsidR="001C48D7">
        <w:rPr>
          <w:rFonts w:eastAsiaTheme="minorHAnsi"/>
          <w:sz w:val="26"/>
          <w:szCs w:val="26"/>
          <w:lang w:eastAsia="en-US"/>
        </w:rPr>
        <w:t>5</w:t>
      </w:r>
      <w:r w:rsidR="00720C37" w:rsidRPr="00872747">
        <w:rPr>
          <w:rFonts w:eastAsiaTheme="minorHAnsi"/>
          <w:sz w:val="26"/>
          <w:szCs w:val="26"/>
          <w:lang w:eastAsia="en-US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19B891C7" w14:textId="77777777" w:rsidR="009B0282" w:rsidRDefault="00C0767A" w:rsidP="004739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7391E">
        <w:rPr>
          <w:sz w:val="26"/>
          <w:szCs w:val="26"/>
        </w:rPr>
        <w:t xml:space="preserve">. </w:t>
      </w:r>
      <w:r w:rsidR="0047391E" w:rsidRPr="00F52D0D">
        <w:rPr>
          <w:sz w:val="26"/>
          <w:szCs w:val="26"/>
        </w:rPr>
        <w:t xml:space="preserve">Настоящее </w:t>
      </w:r>
      <w:r w:rsidR="0047391E">
        <w:rPr>
          <w:sz w:val="26"/>
          <w:szCs w:val="26"/>
        </w:rPr>
        <w:t>р</w:t>
      </w:r>
      <w:r w:rsidR="0047391E" w:rsidRPr="00F52D0D">
        <w:rPr>
          <w:sz w:val="26"/>
          <w:szCs w:val="26"/>
        </w:rPr>
        <w:t>ешение подлежит опубликованию (обнародованию)</w:t>
      </w:r>
      <w:r w:rsidR="0047391E">
        <w:rPr>
          <w:sz w:val="26"/>
          <w:szCs w:val="26"/>
        </w:rPr>
        <w:t xml:space="preserve"> в средствах массовой информации и размещению на официальном сайте </w:t>
      </w:r>
      <w:r w:rsidR="0047391E" w:rsidRPr="00F52D0D">
        <w:rPr>
          <w:sz w:val="26"/>
          <w:szCs w:val="26"/>
        </w:rPr>
        <w:t xml:space="preserve">муниципального образования </w:t>
      </w:r>
      <w:proofErr w:type="spellStart"/>
      <w:r w:rsidR="0047391E">
        <w:rPr>
          <w:sz w:val="26"/>
          <w:szCs w:val="26"/>
        </w:rPr>
        <w:t>Виллозское</w:t>
      </w:r>
      <w:proofErr w:type="spellEnd"/>
      <w:r w:rsidR="0047391E">
        <w:rPr>
          <w:sz w:val="26"/>
          <w:szCs w:val="26"/>
        </w:rPr>
        <w:t xml:space="preserve"> город</w:t>
      </w:r>
      <w:r w:rsidR="0047391E" w:rsidRPr="00F52D0D">
        <w:rPr>
          <w:sz w:val="26"/>
          <w:szCs w:val="26"/>
        </w:rPr>
        <w:t>ское поселение</w:t>
      </w:r>
      <w:r w:rsidR="0047391E">
        <w:rPr>
          <w:sz w:val="26"/>
          <w:szCs w:val="26"/>
        </w:rPr>
        <w:t xml:space="preserve"> по электронному адресу</w:t>
      </w:r>
      <w:r w:rsidR="0047391E" w:rsidRPr="009B0282">
        <w:rPr>
          <w:color w:val="000000" w:themeColor="text1"/>
          <w:sz w:val="26"/>
          <w:szCs w:val="26"/>
        </w:rPr>
        <w:t xml:space="preserve">: </w:t>
      </w:r>
      <w:hyperlink r:id="rId8" w:history="1">
        <w:r w:rsidR="009B0282" w:rsidRPr="009B0282">
          <w:rPr>
            <w:rStyle w:val="a9"/>
            <w:color w:val="000000" w:themeColor="text1"/>
            <w:sz w:val="26"/>
            <w:szCs w:val="26"/>
            <w:u w:val="none"/>
            <w:lang w:val="en-US"/>
          </w:rPr>
          <w:t>www</w:t>
        </w:r>
        <w:r w:rsidR="009B0282" w:rsidRPr="009B0282">
          <w:rPr>
            <w:rStyle w:val="a9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9B0282" w:rsidRPr="009B0282">
          <w:rPr>
            <w:rStyle w:val="a9"/>
            <w:color w:val="000000" w:themeColor="text1"/>
            <w:sz w:val="26"/>
            <w:szCs w:val="26"/>
            <w:u w:val="none"/>
            <w:lang w:val="en-US"/>
          </w:rPr>
          <w:t>villozi</w:t>
        </w:r>
        <w:proofErr w:type="spellEnd"/>
        <w:r w:rsidR="009B0282" w:rsidRPr="009B0282">
          <w:rPr>
            <w:rStyle w:val="a9"/>
            <w:color w:val="000000" w:themeColor="text1"/>
            <w:sz w:val="26"/>
            <w:szCs w:val="26"/>
            <w:u w:val="none"/>
          </w:rPr>
          <w:t>-</w:t>
        </w:r>
        <w:proofErr w:type="spellStart"/>
        <w:r w:rsidR="009B0282" w:rsidRPr="009B0282">
          <w:rPr>
            <w:rStyle w:val="a9"/>
            <w:color w:val="000000" w:themeColor="text1"/>
            <w:sz w:val="26"/>
            <w:szCs w:val="26"/>
            <w:u w:val="none"/>
            <w:lang w:val="en-US"/>
          </w:rPr>
          <w:t>adm</w:t>
        </w:r>
        <w:proofErr w:type="spellEnd"/>
        <w:r w:rsidR="009B0282" w:rsidRPr="009B0282">
          <w:rPr>
            <w:rStyle w:val="a9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9B0282" w:rsidRPr="009B0282">
          <w:rPr>
            <w:rStyle w:val="a9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="0047391E">
        <w:rPr>
          <w:sz w:val="26"/>
          <w:szCs w:val="26"/>
        </w:rPr>
        <w:t>.</w:t>
      </w:r>
      <w:r w:rsidR="0047391E" w:rsidRPr="00F52D0D">
        <w:rPr>
          <w:sz w:val="26"/>
          <w:szCs w:val="26"/>
        </w:rPr>
        <w:t xml:space="preserve"> </w:t>
      </w:r>
    </w:p>
    <w:p w14:paraId="58BD4CB1" w14:textId="77777777" w:rsidR="0047391E" w:rsidRPr="009869D5" w:rsidRDefault="0047391E" w:rsidP="0047391E">
      <w:pPr>
        <w:ind w:firstLine="709"/>
        <w:jc w:val="both"/>
        <w:rPr>
          <w:sz w:val="26"/>
          <w:szCs w:val="26"/>
        </w:rPr>
      </w:pPr>
      <w:r w:rsidRPr="00F52D0D">
        <w:rPr>
          <w:sz w:val="26"/>
          <w:szCs w:val="26"/>
        </w:rPr>
        <w:t>Расходы на опу</w:t>
      </w:r>
      <w:r>
        <w:rPr>
          <w:sz w:val="26"/>
          <w:szCs w:val="26"/>
        </w:rPr>
        <w:t xml:space="preserve">бликование возложить на </w:t>
      </w:r>
      <w:r w:rsidRPr="00F52D0D">
        <w:rPr>
          <w:sz w:val="26"/>
          <w:szCs w:val="26"/>
        </w:rPr>
        <w:t>администрацию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Pr="00F52D0D">
        <w:rPr>
          <w:sz w:val="26"/>
          <w:szCs w:val="26"/>
        </w:rPr>
        <w:t>.</w:t>
      </w:r>
    </w:p>
    <w:p w14:paraId="7134147D" w14:textId="77777777" w:rsidR="001C48D7" w:rsidRDefault="001C48D7" w:rsidP="0047391E">
      <w:pPr>
        <w:jc w:val="both"/>
        <w:outlineLvl w:val="0"/>
        <w:rPr>
          <w:b/>
          <w:sz w:val="26"/>
          <w:szCs w:val="26"/>
        </w:rPr>
      </w:pPr>
    </w:p>
    <w:p w14:paraId="7602F8B7" w14:textId="77777777" w:rsidR="001C48D7" w:rsidRDefault="001C48D7" w:rsidP="0047391E">
      <w:pPr>
        <w:jc w:val="both"/>
        <w:outlineLvl w:val="0"/>
        <w:rPr>
          <w:b/>
          <w:sz w:val="26"/>
          <w:szCs w:val="26"/>
        </w:rPr>
      </w:pPr>
    </w:p>
    <w:p w14:paraId="5ABDFA26" w14:textId="412609B4" w:rsidR="00F72942" w:rsidRDefault="009B0282" w:rsidP="00AD426D">
      <w:pPr>
        <w:jc w:val="both"/>
        <w:outlineLvl w:val="0"/>
      </w:pPr>
      <w:r>
        <w:rPr>
          <w:b/>
          <w:sz w:val="26"/>
          <w:szCs w:val="26"/>
        </w:rPr>
        <w:t xml:space="preserve">Глава </w:t>
      </w:r>
      <w:proofErr w:type="spellStart"/>
      <w:r>
        <w:rPr>
          <w:b/>
          <w:sz w:val="26"/>
          <w:szCs w:val="26"/>
        </w:rPr>
        <w:t>Виллозского</w:t>
      </w:r>
      <w:proofErr w:type="spellEnd"/>
      <w:r w:rsidR="0047391E" w:rsidRPr="00AC5A3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городского поселения</w:t>
      </w:r>
      <w:r w:rsidR="0047391E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              </w:t>
      </w:r>
      <w:r w:rsidR="0047391E">
        <w:rPr>
          <w:b/>
          <w:sz w:val="26"/>
          <w:szCs w:val="26"/>
        </w:rPr>
        <w:t xml:space="preserve"> </w:t>
      </w:r>
      <w:r w:rsidR="001C48D7">
        <w:rPr>
          <w:b/>
          <w:sz w:val="26"/>
          <w:szCs w:val="26"/>
        </w:rPr>
        <w:t xml:space="preserve">Н.Н. </w:t>
      </w:r>
      <w:proofErr w:type="spellStart"/>
      <w:r w:rsidR="001C48D7">
        <w:rPr>
          <w:b/>
          <w:sz w:val="26"/>
          <w:szCs w:val="26"/>
        </w:rPr>
        <w:t>Пейголайнен</w:t>
      </w:r>
      <w:proofErr w:type="spellEnd"/>
    </w:p>
    <w:sectPr w:rsidR="00F72942" w:rsidSect="0025776E">
      <w:headerReference w:type="even" r:id="rId9"/>
      <w:headerReference w:type="default" r:id="rId10"/>
      <w:headerReference w:type="first" r:id="rId11"/>
      <w:pgSz w:w="11906" w:h="16838"/>
      <w:pgMar w:top="709" w:right="850" w:bottom="851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C635" w14:textId="77777777" w:rsidR="00621D74" w:rsidRDefault="00621D74">
      <w:r>
        <w:separator/>
      </w:r>
    </w:p>
  </w:endnote>
  <w:endnote w:type="continuationSeparator" w:id="0">
    <w:p w14:paraId="5A361E0B" w14:textId="77777777" w:rsidR="00621D74" w:rsidRDefault="0062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E24B" w14:textId="77777777" w:rsidR="00621D74" w:rsidRDefault="00621D74">
      <w:r>
        <w:separator/>
      </w:r>
    </w:p>
  </w:footnote>
  <w:footnote w:type="continuationSeparator" w:id="0">
    <w:p w14:paraId="15E63A63" w14:textId="77777777" w:rsidR="00621D74" w:rsidRDefault="0062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6E22" w14:textId="77777777" w:rsidR="00817A20" w:rsidRDefault="00A644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7A2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33E7D0" w14:textId="77777777" w:rsidR="00817A20" w:rsidRDefault="00817A2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96415"/>
      <w:docPartObj>
        <w:docPartGallery w:val="Page Numbers (Top of Page)"/>
        <w:docPartUnique/>
      </w:docPartObj>
    </w:sdtPr>
    <w:sdtContent>
      <w:p w14:paraId="6FBA44EB" w14:textId="1A6CF8F2" w:rsidR="0025776E" w:rsidRDefault="002577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0F6E5" w14:textId="77777777" w:rsidR="00817A20" w:rsidRDefault="00817A2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B1DD" w14:textId="709F5C56" w:rsidR="0025776E" w:rsidRDefault="0025776E">
    <w:pPr>
      <w:pStyle w:val="a3"/>
      <w:jc w:val="center"/>
    </w:pPr>
  </w:p>
  <w:p w14:paraId="5F3C97D6" w14:textId="77777777" w:rsidR="00817A20" w:rsidRDefault="00817A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1E"/>
    <w:rsid w:val="00024DD9"/>
    <w:rsid w:val="000D515B"/>
    <w:rsid w:val="001C48D7"/>
    <w:rsid w:val="001C5E91"/>
    <w:rsid w:val="00215076"/>
    <w:rsid w:val="0025776E"/>
    <w:rsid w:val="00273712"/>
    <w:rsid w:val="002918F3"/>
    <w:rsid w:val="002B1AF6"/>
    <w:rsid w:val="002D5B4C"/>
    <w:rsid w:val="002F713A"/>
    <w:rsid w:val="003228FD"/>
    <w:rsid w:val="00335850"/>
    <w:rsid w:val="003B60D9"/>
    <w:rsid w:val="003D7F83"/>
    <w:rsid w:val="00404987"/>
    <w:rsid w:val="00431E1D"/>
    <w:rsid w:val="0047391E"/>
    <w:rsid w:val="004879F9"/>
    <w:rsid w:val="004D7349"/>
    <w:rsid w:val="005552D5"/>
    <w:rsid w:val="00576C90"/>
    <w:rsid w:val="005B45C3"/>
    <w:rsid w:val="005C72CD"/>
    <w:rsid w:val="00621D74"/>
    <w:rsid w:val="006968DF"/>
    <w:rsid w:val="006B35D2"/>
    <w:rsid w:val="006D13D4"/>
    <w:rsid w:val="006E2669"/>
    <w:rsid w:val="00712B68"/>
    <w:rsid w:val="00717515"/>
    <w:rsid w:val="00720C37"/>
    <w:rsid w:val="00721CBF"/>
    <w:rsid w:val="007264AD"/>
    <w:rsid w:val="007A6E13"/>
    <w:rsid w:val="007D7CD1"/>
    <w:rsid w:val="007E0A37"/>
    <w:rsid w:val="00817A20"/>
    <w:rsid w:val="00831A0B"/>
    <w:rsid w:val="008412E1"/>
    <w:rsid w:val="008539E0"/>
    <w:rsid w:val="008558F8"/>
    <w:rsid w:val="008B6A11"/>
    <w:rsid w:val="008C668E"/>
    <w:rsid w:val="008E4AA6"/>
    <w:rsid w:val="008F5A7B"/>
    <w:rsid w:val="0090211D"/>
    <w:rsid w:val="00987478"/>
    <w:rsid w:val="009B0282"/>
    <w:rsid w:val="009E518B"/>
    <w:rsid w:val="009F6F6D"/>
    <w:rsid w:val="00A14DE9"/>
    <w:rsid w:val="00A53E4B"/>
    <w:rsid w:val="00A6448B"/>
    <w:rsid w:val="00A655F0"/>
    <w:rsid w:val="00AD426D"/>
    <w:rsid w:val="00AF2884"/>
    <w:rsid w:val="00B65AD2"/>
    <w:rsid w:val="00B967B0"/>
    <w:rsid w:val="00C0767A"/>
    <w:rsid w:val="00C22E5E"/>
    <w:rsid w:val="00CC0DA8"/>
    <w:rsid w:val="00CD5F73"/>
    <w:rsid w:val="00D7674A"/>
    <w:rsid w:val="00D92CFA"/>
    <w:rsid w:val="00DC3969"/>
    <w:rsid w:val="00E25C3C"/>
    <w:rsid w:val="00E55AE9"/>
    <w:rsid w:val="00E80E8E"/>
    <w:rsid w:val="00EC33A2"/>
    <w:rsid w:val="00EE6FEF"/>
    <w:rsid w:val="00F370A5"/>
    <w:rsid w:val="00F414F1"/>
    <w:rsid w:val="00F46A8B"/>
    <w:rsid w:val="00F522B5"/>
    <w:rsid w:val="00F7175A"/>
    <w:rsid w:val="00F72942"/>
    <w:rsid w:val="00F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CE3A"/>
  <w15:docId w15:val="{493A1D0E-71F5-4266-BACF-410F756E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39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391E"/>
  </w:style>
  <w:style w:type="paragraph" w:customStyle="1" w:styleId="Heading">
    <w:name w:val="Heading"/>
    <w:rsid w:val="004739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6">
    <w:name w:val="Table Grid"/>
    <w:basedOn w:val="a1"/>
    <w:rsid w:val="00473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8E4A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4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B0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7733A8BE62B42E75BD7C8A95253AA07B3619398189EFE0ADE989F360E73665C2E8B7FF607BC9d8b8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733A8BE62B42E75BD7C8A95253AA07B3619398189EFE0ADE989F360E73665C2E8B7F7637EdCb6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2</cp:revision>
  <cp:lastPrinted>2024-10-23T06:41:00Z</cp:lastPrinted>
  <dcterms:created xsi:type="dcterms:W3CDTF">2024-10-23T06:42:00Z</dcterms:created>
  <dcterms:modified xsi:type="dcterms:W3CDTF">2024-10-23T06:42:00Z</dcterms:modified>
</cp:coreProperties>
</file>